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507</w:t>
      </w:r>
    </w:p>
    <w:p>
      <w:r>
        <w:t>Bundesgericht (BGE), 1990-05-17, FR</w:t>
      </w:r>
    </w:p>
    <w:p>
      <w:r>
        <w:rPr>
          <w:b/>
        </w:rPr>
        <w:t xml:space="preserve">Quelle: </w:t>
      </w:r>
      <w:r>
        <w:t>https://mcp.opencaselaw.ch/entscheid/bge_117 IV 507</w:t>
      </w:r>
    </w:p>
    <w:p>
      <w:r>
        <w:t>FR: ATF 117 IV 507</w:t>
      </w:r>
    </w:p>
    <w:p>
      <w:r>
        <w:t>IT: DTF 117 IV 507</w:t>
      </w:r>
    </w:p>
    <w:p>
      <w:pPr>
        <w:pStyle w:val="Heading2"/>
      </w:pPr>
      <w:r>
        <w:t>Regeste</w:t>
      </w:r>
    </w:p>
    <w:p>
      <w:r>
        <w:t>Regeste Art. 37 Abs. 2 SVG; behinderndes Anhalten oder Parkieren. Auf einer Strasse, die keine Hauptstrasse ist, ist das Anhalten oder Parkieren nicht allein aus dem Grund verboten, dass dadurch das Kreuzen zweier Fahrzeuge behindert wird. Es muss aber genügend Raum für die vorbeifahrenden Fahrzeuge bestehen, und es darf keine Unfallgefahr geschaffen werden (E. 2b).</w:t>
      </w:r>
    </w:p>
    <w:p>
      <w:pPr>
        <w:pStyle w:val="Heading2"/>
      </w:pPr>
      <w:r>
        <w:t>Erwägungen</w:t>
      </w:r>
    </w:p>
    <w:p>
      <w:r>
        <w:rPr>
          <w:b/>
        </w:rPr>
        <w:t>E. 2</w:t>
      </w:r>
    </w:p>
    <w:p>
      <w:r>
        <w:t>a) La cour cantonale a condamné la recourante en application des art. 27 al. 1, 37 al. 2, 90 ch. 1 LCR et 19 al. 2 let. g OCR. L' art. 90 ch. 1 LCR réprime pénalement la violation des règles de la circulation. Pour que cette disposition soit applicable, il faut donc qu'il y ait eu violation d'une règle de la circulation. L' art. 27 al. 1 LCR vise le cas où l'auteur ne s'est pas conformé aux signaux, aux marques ou aux ordres de la police. Bien que l'arrêt cantonal évoque la présence, dans un sens, d'un panneau d'interdiction générale de circuler, il ne ressort pas de l'état de fait retenu - qui lie la Cour de cassation - que la recourante ne se serait pas conformée à des signaux, des marques ou des ordres de la police. En conséquence, l' art. 27 al. 1 LCR n'est pas applicable. L' art. 19 al. 2 let . g OCR interdit le stationnement "devant l'accès à des bâtiments ou des terrains d'autrui". Il résulte clairement de cette formulation que le stationnement n'est pas illicite si le conducteur empêche l'accès à son propre bâtiment ou à son propre terrain (BUSSY/RUSCONI, Commentaire CR, art. 19 OCR No 3.6). En l'espèce, il a été constaté que la recourante était stationnée devant son propre entrepôt et il ne ressort nullement de l'état de fait retenu qu'elle aurait empêché l'accès au bâtiment ou au terrain d'autrui. En conséquence, cette disposition n'est également pas applicable. Il reste à examiner la situation sous l'angle de l' art. 37 al. 2 LCR . b) Cette disposition prévoit que "les véhicules ne seront arrêtés ni parqués aux endroits où ils pourraient gêner ou mettre en danger la circulation". Selon la jurisprudence, le stationnement est BGE 117 IV 507 S. 509 interdit par l' art. 37 al. 2 LCR lorsqu'il crée un obstacle important, de nature à provoquer des accidents, malgré l'attention requise des autres usagers de la route ou s'il entrave dans une mesure particulière la marche des autres véhicules ( ATF 102 II 283 consid. 3a, ATF 97 II 168 consid. 4b, ATF 84 IV 62 consid. 1 et les arrêts cités; BUSSY/RUSCONI, op.cit. ad art. 18 OCR No 4.1.2). En l'espèce, il n'a pas été constaté que la voiture stationnée ne laissait pas un espace suffisant pour permettre le passage sans danger des véhicules qui circulent dans cette ruelle selon la destination de celle-ci; il n'a pas davantage été observé que l'obstacle constituerait un danger d'accident, lié par exemple à un problème de visibilité résultant de la configuration des lieux. Il ne ressort donc pas des faits constatés que le parcage à cet endroit contreviendrait d'emblée au principe énoncé à l' art. 37 al. 2 LCR . Il faut d'autre part garder à l'esprit que la portée du principe est précisée par les dispositions d'exécution, à savoir les art. 18 à 21 OCR ( ATF 92 IV 12 consid. 4). Or, l' art. 19 al. 2 let . c OCR interdit le stationnement sur les routes principales à l'intérieur des localités lorsque deux voitures automobiles n'auraient plus assez de place pour croiser. Il en résulte a contrario que s'il s'agit d'une route qui n'est pas principale, le stationnement à l'intérieur d'une localité n'est pas interdit pour le seul motif qu'il empêcherait deux voitures de croiser (SCHAFFHAUSER, Strassenverkehrsrecht I p. 239 No 646). En l'espèce, la recourante a stationné une voiture, à l'intérieur d'une localité, dans une ruelle privée, qui ne saurait constituer une route principale. On doit déduire a contrario de l' art. 19 al. 2 let . c OCR que le simple fait de réduire la circulation à une seule voie pour les deux sens ne suffisait pas pour rendre le parcage illicite. Certes, ce stationnement rendait la chaussée étroite, sans pour autant empêcher ou rendre dangereuse la circulation, et il obligeait les véhicules à contourner la voiture parquée; cette situation est envisagée par l' art. 19 al. 3 OCR qui interdit alors de stationner des deux côtés pour éviter que les voitures doivent faire des manoeuvres d'évitement tantôt sur la gauche tantôt sur la droite (SCHAFFHAUSER, op.cit., loc.cit.). Il n'est pas retenu en fait que ces circonstances seraient réalisées en l'espèce. En particulier, la cour cantonale n'a pas constaté la présence d'un véhicule parqué de l'autre côté au moment du stationnement litigieux. Il est vrai qu'en stationnant la voiture à cet endroit-là, la recourante empêchait un autre usager de parquer de l'autre côté, puis BGE 117 IV 507 S. 510 que cela aurait gêné le passage. Il s'agit là d'une conséquence directe de la règle posée par l' art. 19 al. 3 OCR : la présence d'un véhicule arrêté d'un côté crée une interdiction de parcage de l'autre côté (BUSSY/RUSCONI, op.cit., art. 19 OCR No 3.7). Cette situation n'a d'ailleurs rien d'extraordinaire; dans les cas par exemple où le stationnement est réglementé par des marques sur le sol, les premiers véhicules qui occupent les cases excluent par leur présence le parcage des autres. Même sur une route qui n'est pas principale, le fait de réduire l'espace utile à une seule voie peut, suivant l'intensité de la circulation, perturber sérieusement la fluidité du trafic; dans un tel cas, il appartient à l'autorité de réglementer le stationnement par des signaux et des marques. Ainsi, sur la base des faits retenus, la recourante n'a pas contrevenu aux règles de circulation visées et sa condamnation viole le droit fédéral. La décision attaquée doit donc être annulée et la cause renvoyée à l'autorité cantonale pour qu'il soit statué à nouveau ( art. 277ter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